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2A55754" w14:textId="743E0ABF" w:rsidR="00446C13" w:rsidRPr="00DC7A6D" w:rsidRDefault="00632CF7" w:rsidP="00DC7A6D">
      <w:pPr>
        <w:pStyle w:val="Title"/>
      </w:pPr>
      <w:r>
        <w:t>MultiDisciplinary and Cross-Curricular Research Brief</w:t>
      </w:r>
    </w:p>
    <w:p w14:paraId="54D41875" w14:textId="33ED5CA0" w:rsidR="009D6E8D" w:rsidRDefault="00362427" w:rsidP="009D6E8D">
      <w:pPr>
        <w:pStyle w:val="BodyText"/>
      </w:pPr>
      <w:r>
        <w:t xml:space="preserve">Multidisciplinary learning has long been a way of thinking among Western and non-Western </w:t>
      </w:r>
      <w:r w:rsidR="006B048B">
        <w:t>philosophers</w:t>
      </w:r>
      <w:r>
        <w:t xml:space="preserve"> alike (Rogers, 2016). The origins of multidisciplinary learning can be traced back the concept of the music of the spheres, a theory</w:t>
      </w:r>
      <w:r w:rsidR="00DD63F8">
        <w:t xml:space="preserve"> with origins in </w:t>
      </w:r>
      <w:r>
        <w:t>ancient Greece.</w:t>
      </w:r>
      <w:r w:rsidR="007F591D">
        <w:t xml:space="preserve"> </w:t>
      </w:r>
      <w:r w:rsidR="00DD63F8">
        <w:t xml:space="preserve">The theory draws connections between music and science and </w:t>
      </w:r>
      <w:proofErr w:type="gramStart"/>
      <w:r w:rsidR="00DD63F8">
        <w:t>in an effort to</w:t>
      </w:r>
      <w:proofErr w:type="gramEnd"/>
      <w:r w:rsidR="00DD63F8">
        <w:t xml:space="preserve"> describe the larger world as ordered in a way that is consistent with the principles of music theory</w:t>
      </w:r>
      <w:r>
        <w:t xml:space="preserve"> (Rogers, 2016). </w:t>
      </w:r>
    </w:p>
    <w:p w14:paraId="3CC2D363" w14:textId="3C2DB541" w:rsidR="00362427" w:rsidRPr="009D6E8D" w:rsidRDefault="00362427" w:rsidP="009D6E8D">
      <w:pPr>
        <w:pStyle w:val="BodyText"/>
      </w:pPr>
      <w:r>
        <w:t xml:space="preserve">The unity </w:t>
      </w:r>
      <w:r w:rsidR="00DD63F8">
        <w:t>found in the music of the spheres</w:t>
      </w:r>
      <w:r>
        <w:t xml:space="preserve"> has been </w:t>
      </w:r>
      <w:r w:rsidR="006B048B">
        <w:t xml:space="preserve">partially </w:t>
      </w:r>
      <w:r>
        <w:t xml:space="preserve">lost in today’s world of discipline-based scholarship. </w:t>
      </w:r>
      <w:r w:rsidR="00DD63F8">
        <w:t>However, the challenges of the present require unified, multidisciplinary approaches</w:t>
      </w:r>
      <w:r w:rsidR="008D63A6">
        <w:t xml:space="preserve"> (</w:t>
      </w:r>
      <w:r w:rsidR="008D63A6" w:rsidRPr="008D63A6">
        <w:t>Terjesen &amp; Politis</w:t>
      </w:r>
      <w:r w:rsidR="008D63A6">
        <w:t xml:space="preserve">, 2015). Through multidisciplinary educational methods, teachers can foster </w:t>
      </w:r>
      <w:r w:rsidR="00DD63F8">
        <w:t xml:space="preserve">greater comprehension of </w:t>
      </w:r>
      <w:r w:rsidR="00BD03B9">
        <w:t xml:space="preserve">curriculum </w:t>
      </w:r>
      <w:r w:rsidR="008D63A6">
        <w:t xml:space="preserve">and </w:t>
      </w:r>
      <w:r w:rsidR="00BD03B9">
        <w:t>prepare students to be versatile citizens ready to take on the challenges of the</w:t>
      </w:r>
      <w:r w:rsidR="00C53F53">
        <w:t xml:space="preserve"> world beyond the classroom. </w:t>
      </w:r>
    </w:p>
    <w:p w14:paraId="29C6AB97" w14:textId="0B9AC7E3" w:rsidR="00632CF7" w:rsidRPr="00632CF7" w:rsidRDefault="00632CF7" w:rsidP="00632CF7">
      <w:pPr>
        <w:pStyle w:val="Heading1"/>
      </w:pPr>
      <w:r>
        <w:t xml:space="preserve">Definition of </w:t>
      </w:r>
      <w:r w:rsidR="00F315F7">
        <w:t>Multidisciplinary</w:t>
      </w:r>
      <w:r>
        <w:t xml:space="preserve"> </w:t>
      </w:r>
      <w:r w:rsidR="005A69FC">
        <w:t>Research</w:t>
      </w:r>
    </w:p>
    <w:p w14:paraId="331314A4" w14:textId="317A0345" w:rsidR="00632CF7" w:rsidRDefault="008D63A6" w:rsidP="00632CF7">
      <w:r>
        <w:t xml:space="preserve">The exchange of knowledge between content areas can be described </w:t>
      </w:r>
      <w:r w:rsidR="00BD03B9">
        <w:t xml:space="preserve">as </w:t>
      </w:r>
      <w:r>
        <w:t>“multidisciplinary,” “interdisciplinary,” “transdisciplinary,” and “cross-disciplinary</w:t>
      </w:r>
      <w:r w:rsidR="00BD03B9">
        <w:t>,</w:t>
      </w:r>
      <w:r>
        <w:t>”</w:t>
      </w:r>
      <w:r w:rsidR="00BD03B9">
        <w:t xml:space="preserve"> but there are slight variations between the terms</w:t>
      </w:r>
      <w:r>
        <w:t xml:space="preserve"> (Daniel et al., 2022). In </w:t>
      </w:r>
      <w:r w:rsidR="00A565D2">
        <w:t>multidisciplinary research, researchers from</w:t>
      </w:r>
      <w:r w:rsidR="00C53F53">
        <w:t xml:space="preserve"> multiple </w:t>
      </w:r>
      <w:r w:rsidR="00A565D2">
        <w:t xml:space="preserve">disciplines work collectively to address </w:t>
      </w:r>
      <w:r w:rsidR="00C53F53">
        <w:t>one</w:t>
      </w:r>
      <w:r w:rsidR="00BD03B9">
        <w:t xml:space="preserve"> question</w:t>
      </w:r>
      <w:r w:rsidR="00A565D2">
        <w:t xml:space="preserve"> using methods and content knowledge from their areas of specialization. In contrast, cross-disciplinary research applies knowledge and methods from one discipline to address an issue related to another discipline. Interdisciplinary research, however, synthesizes knowledge and methods from a collection of disciplines to address one question shared among the disciplines (Daniel et al., 2022). </w:t>
      </w:r>
      <w:r w:rsidR="00BB744F">
        <w:t>In many cases, the term interdisciplinarity tends to be used interchangeably with multidisciplinary</w:t>
      </w:r>
      <w:r w:rsidR="00BD03B9">
        <w:t xml:space="preserve">, </w:t>
      </w:r>
      <w:r w:rsidR="00A95DF3">
        <w:t>although the two describe different approaches</w:t>
      </w:r>
      <w:r w:rsidR="00BB744F">
        <w:t xml:space="preserve"> (Razzaq et al., 2013). </w:t>
      </w:r>
    </w:p>
    <w:p w14:paraId="3A0356A0" w14:textId="241C357A" w:rsidR="00632CF7" w:rsidRDefault="005A69FC" w:rsidP="00632CF7">
      <w:pPr>
        <w:pStyle w:val="Heading1"/>
      </w:pPr>
      <w:r>
        <w:t>Multi</w:t>
      </w:r>
      <w:r w:rsidR="00F315F7">
        <w:t>d</w:t>
      </w:r>
      <w:r>
        <w:t>isciplinary Teaching</w:t>
      </w:r>
    </w:p>
    <w:p w14:paraId="69B3BF6B" w14:textId="4E160B49" w:rsidR="00D84584" w:rsidRPr="00D84584" w:rsidRDefault="00A565D2" w:rsidP="00BD03B9">
      <w:r>
        <w:t>In the classroom, multidisciplinary teaching</w:t>
      </w:r>
      <w:r w:rsidR="00BB744F">
        <w:t xml:space="preserve"> describes instruction that invites cross-curricular connections (Choi &amp; Pak, 2006).</w:t>
      </w:r>
      <w:r w:rsidR="00BD03B9">
        <w:t xml:space="preserve"> </w:t>
      </w:r>
      <w:r w:rsidR="00D84584">
        <w:t>As opposed to discipline-based lessons, multidisciplinary lessons draw on knowledge from a collection of disciplines</w:t>
      </w:r>
      <w:r w:rsidR="00A95DF3">
        <w:t xml:space="preserve"> to give students a comprehensive view of concepts. </w:t>
      </w:r>
      <w:r w:rsidR="00BB03C4">
        <w:t xml:space="preserve">Learners with skills in multiple </w:t>
      </w:r>
      <w:r w:rsidR="00C45C0A">
        <w:t>disciplines</w:t>
      </w:r>
      <w:r w:rsidR="00BB03C4">
        <w:t xml:space="preserve"> are required to tackle the prevalent world problems of today and the future (Hardy, et al., 2021</w:t>
      </w:r>
      <w:r w:rsidR="00BB03C4" w:rsidRPr="00DD63F8">
        <w:t>). By creating cross-curricular connections, teachers invite students to develop a greater understanding of</w:t>
      </w:r>
      <w:r w:rsidR="00D02B0F" w:rsidRPr="00DD63F8">
        <w:t xml:space="preserve"> </w:t>
      </w:r>
      <w:r w:rsidR="00DD63F8" w:rsidRPr="00DD63F8">
        <w:t xml:space="preserve">instructional </w:t>
      </w:r>
      <w:r w:rsidR="00D02B0F" w:rsidRPr="00DD63F8">
        <w:t>content while creating authentic connections</w:t>
      </w:r>
      <w:r w:rsidR="00A95DF3">
        <w:t xml:space="preserve"> </w:t>
      </w:r>
      <w:r w:rsidR="00BB03C4">
        <w:t xml:space="preserve">(Atwater, 1995). </w:t>
      </w:r>
    </w:p>
    <w:p w14:paraId="381C0FAA" w14:textId="3F468A33" w:rsidR="00632CF7" w:rsidRDefault="005D3424" w:rsidP="00632CF7">
      <w:pPr>
        <w:pStyle w:val="Heading1"/>
      </w:pPr>
      <w:r>
        <w:t>Benefits of Multi</w:t>
      </w:r>
      <w:r w:rsidR="00F315F7">
        <w:t>d</w:t>
      </w:r>
      <w:r>
        <w:t>isciplinary Education</w:t>
      </w:r>
    </w:p>
    <w:p w14:paraId="7A711AAD" w14:textId="4B4819B2" w:rsidR="00632CF7" w:rsidRDefault="00C45C0A" w:rsidP="00B27CAA">
      <w:pPr>
        <w:pStyle w:val="BodyText"/>
      </w:pPr>
      <w:r>
        <w:t xml:space="preserve">Multidisciplinary approaches offer benefits for both students and teachers. </w:t>
      </w:r>
      <w:r w:rsidR="000B075F">
        <w:t xml:space="preserve">Multidisciplinary lessons guide students in developing a well-rounded knowledge base that can be readily applied to complex, real-world </w:t>
      </w:r>
      <w:r w:rsidR="00A95DF3">
        <w:t xml:space="preserve">issues </w:t>
      </w:r>
      <w:r w:rsidR="000B075F">
        <w:t xml:space="preserve">(Hardy et al., 2021). </w:t>
      </w:r>
      <w:r w:rsidR="00A95DF3">
        <w:t xml:space="preserve">This form of instruction additionally </w:t>
      </w:r>
      <w:r w:rsidR="00A95DF3">
        <w:lastRenderedPageBreak/>
        <w:t>invites students to make independent choices under the guidance of the teacher (</w:t>
      </w:r>
      <w:proofErr w:type="spellStart"/>
      <w:r w:rsidR="00A95DF3">
        <w:t>Braskén</w:t>
      </w:r>
      <w:proofErr w:type="spellEnd"/>
      <w:r w:rsidR="00A95DF3">
        <w:t xml:space="preserve"> et al., 2020). </w:t>
      </w:r>
      <w:r w:rsidR="000B075F">
        <w:t>These approaches lead to positive emotional outcomes for students as they develop critical thinking skills</w:t>
      </w:r>
      <w:r w:rsidR="007F591D">
        <w:t>.</w:t>
      </w:r>
      <w:r w:rsidR="000B075F">
        <w:t xml:space="preserve"> </w:t>
      </w:r>
    </w:p>
    <w:p w14:paraId="1C35D250" w14:textId="1030A431" w:rsidR="000B075F" w:rsidRDefault="000B075F" w:rsidP="00B27CAA">
      <w:pPr>
        <w:pStyle w:val="BodyText"/>
      </w:pPr>
      <w:r>
        <w:t xml:space="preserve">Multidisciplinary instruction also offers </w:t>
      </w:r>
      <w:r w:rsidR="006B048B">
        <w:t>benefits</w:t>
      </w:r>
      <w:r>
        <w:t xml:space="preserve"> for teachers. </w:t>
      </w:r>
      <w:r w:rsidR="006B048B">
        <w:t xml:space="preserve">Teachers that implement multidisciplinary lessons gain the opportunity to collaborate with colleagues as they create cross-curricular </w:t>
      </w:r>
      <w:r w:rsidR="008F02BF">
        <w:t>learning experiences</w:t>
      </w:r>
      <w:r w:rsidR="007F591D">
        <w:t xml:space="preserve"> (</w:t>
      </w:r>
      <w:proofErr w:type="spellStart"/>
      <w:r w:rsidR="007F591D">
        <w:t>Braskén</w:t>
      </w:r>
      <w:proofErr w:type="spellEnd"/>
      <w:r w:rsidR="007F591D">
        <w:t xml:space="preserve"> et al., 2020)</w:t>
      </w:r>
      <w:r w:rsidR="006B048B">
        <w:t xml:space="preserve">. </w:t>
      </w:r>
      <w:r w:rsidR="007F591D">
        <w:t xml:space="preserve">During this collaboration, teachers are able to gain content knowledge and an understanding of their colleagues’ instructional techniques and procedures. </w:t>
      </w:r>
      <w:r w:rsidR="006B048B">
        <w:t xml:space="preserve">This cross-curricular collaboration promotes support among teachers and invites the sharing of knowledge. </w:t>
      </w:r>
    </w:p>
    <w:p w14:paraId="4F9BDFA9" w14:textId="79D01E09" w:rsidR="00632CF7" w:rsidRDefault="00B27CAA" w:rsidP="00632CF7">
      <w:pPr>
        <w:pStyle w:val="Heading1"/>
      </w:pPr>
      <w:r>
        <w:t>Conclusion</w:t>
      </w:r>
    </w:p>
    <w:p w14:paraId="1E32AEB4" w14:textId="762F11FE" w:rsidR="00F743E2" w:rsidRPr="00F743E2" w:rsidRDefault="00BB744F" w:rsidP="00EB02A9">
      <w:r>
        <w:t>Multidisciplinary instruction provides emotional and educational benefits for teachers and students. The world beyond the classroom requires citizens with multidisciplinary outlooks, in contrast to the discipline-based instruction often found in classrooms</w:t>
      </w:r>
      <w:r w:rsidR="007F591D">
        <w:t xml:space="preserve"> (</w:t>
      </w:r>
      <w:r w:rsidR="007F591D" w:rsidRPr="008D63A6">
        <w:t>Terjesen &amp; Politis</w:t>
      </w:r>
      <w:r w:rsidR="007F591D">
        <w:t>, 2015)</w:t>
      </w:r>
      <w:r>
        <w:t xml:space="preserve">. By engaging students in multidisciplinary instruction, teachers invite students to connect class content to the real world and prepare students to contribute </w:t>
      </w:r>
      <w:r w:rsidR="008F02BF">
        <w:t xml:space="preserve">to society as a whole. </w:t>
      </w:r>
    </w:p>
    <w:p w14:paraId="4020B678" w14:textId="6B5E82C8" w:rsidR="00632CF7" w:rsidRPr="00EB02A9" w:rsidRDefault="00632CF7" w:rsidP="008A6AC1">
      <w:pPr>
        <w:pStyle w:val="Heading3"/>
        <w:rPr>
          <w:rFonts w:asciiTheme="minorHAnsi" w:hAnsiTheme="minorHAnsi" w:cstheme="minorHAnsi"/>
          <w:sz w:val="18"/>
          <w:szCs w:val="18"/>
        </w:rPr>
      </w:pPr>
      <w:r w:rsidRPr="00EB02A9">
        <w:rPr>
          <w:rFonts w:asciiTheme="minorHAnsi" w:hAnsiTheme="minorHAnsi" w:cstheme="minorHAnsi"/>
          <w:sz w:val="18"/>
          <w:szCs w:val="18"/>
        </w:rPr>
        <w:t>Citations</w:t>
      </w:r>
      <w:r w:rsidRPr="00783739">
        <w:rPr>
          <w:rFonts w:asciiTheme="minorHAnsi" w:hAnsiTheme="minorHAnsi" w:cstheme="minorHAnsi"/>
          <w:sz w:val="18"/>
          <w:szCs w:val="18"/>
        </w:rPr>
        <w:br/>
      </w:r>
      <w:r w:rsidRPr="00727C0F">
        <w:rPr>
          <w:rFonts w:asciiTheme="minorHAnsi" w:hAnsiTheme="minorHAnsi" w:cstheme="minorHAnsi"/>
          <w:i w:val="0"/>
          <w:iCs/>
          <w:sz w:val="18"/>
          <w:szCs w:val="18"/>
        </w:rPr>
        <w:t>Atwater, M. M. (1995). The cross-curricular classroom.</w:t>
      </w:r>
      <w:r w:rsidRPr="00783739">
        <w:rPr>
          <w:rFonts w:asciiTheme="minorHAnsi" w:hAnsiTheme="minorHAnsi" w:cstheme="minorHAnsi"/>
          <w:sz w:val="18"/>
          <w:szCs w:val="18"/>
        </w:rPr>
        <w:t xml:space="preserve"> Science Scope, 19</w:t>
      </w:r>
      <w:r w:rsidRPr="00727C0F">
        <w:rPr>
          <w:rFonts w:asciiTheme="minorHAnsi" w:hAnsiTheme="minorHAnsi" w:cstheme="minorHAnsi"/>
          <w:i w:val="0"/>
          <w:iCs/>
          <w:sz w:val="18"/>
          <w:szCs w:val="18"/>
        </w:rPr>
        <w:t xml:space="preserve">(2), 42–45. </w:t>
      </w:r>
      <w:hyperlink r:id="rId11" w:history="1">
        <w:r w:rsidRPr="00727C0F">
          <w:rPr>
            <w:rStyle w:val="Hyperlink"/>
            <w:rFonts w:asciiTheme="minorHAnsi" w:hAnsiTheme="minorHAnsi" w:cstheme="minorHAnsi"/>
            <w:i w:val="0"/>
            <w:iCs/>
            <w:sz w:val="18"/>
            <w:szCs w:val="18"/>
          </w:rPr>
          <w:t>http://www.jstor.org/stable/43179501</w:t>
        </w:r>
      </w:hyperlink>
    </w:p>
    <w:p w14:paraId="61B4FCCD" w14:textId="5BBE4348" w:rsidR="00632CF7" w:rsidRPr="00783739" w:rsidRDefault="00632CF7" w:rsidP="00632CF7">
      <w:pPr>
        <w:spacing w:after="0" w:line="240" w:lineRule="auto"/>
        <w:rPr>
          <w:rFonts w:cstheme="minorHAnsi"/>
          <w:color w:val="3E5C61" w:themeColor="text2"/>
          <w:sz w:val="18"/>
          <w:szCs w:val="18"/>
        </w:rPr>
      </w:pPr>
      <w:proofErr w:type="spellStart"/>
      <w:r w:rsidRPr="00783739">
        <w:rPr>
          <w:rFonts w:cstheme="minorHAnsi"/>
          <w:color w:val="3E5C61" w:themeColor="text2"/>
          <w:sz w:val="18"/>
          <w:szCs w:val="18"/>
        </w:rPr>
        <w:t>Braskén</w:t>
      </w:r>
      <w:proofErr w:type="spellEnd"/>
      <w:r w:rsidRPr="00783739">
        <w:rPr>
          <w:rFonts w:cstheme="minorHAnsi"/>
          <w:color w:val="3E5C61" w:themeColor="text2"/>
          <w:sz w:val="18"/>
          <w:szCs w:val="18"/>
        </w:rPr>
        <w:t xml:space="preserve">, M., Hemmi, K., &amp; </w:t>
      </w:r>
      <w:proofErr w:type="spellStart"/>
      <w:r w:rsidRPr="00783739">
        <w:rPr>
          <w:rFonts w:cstheme="minorHAnsi"/>
          <w:color w:val="3E5C61" w:themeColor="text2"/>
          <w:sz w:val="18"/>
          <w:szCs w:val="18"/>
        </w:rPr>
        <w:t>Kurtén</w:t>
      </w:r>
      <w:proofErr w:type="spellEnd"/>
      <w:r w:rsidRPr="00783739">
        <w:rPr>
          <w:rFonts w:cstheme="minorHAnsi"/>
          <w:color w:val="3E5C61" w:themeColor="text2"/>
          <w:sz w:val="18"/>
          <w:szCs w:val="18"/>
        </w:rPr>
        <w:t xml:space="preserve">, B. (2020). Implementing a multidisciplinary curriculum in a Finnish lower secondary school – The Perspective of Science and Mathematics. Scandinavian Journal of Educational Research, 64(6), 852–868. </w:t>
      </w:r>
      <w:hyperlink r:id="rId12" w:history="1">
        <w:r w:rsidRPr="00783739">
          <w:rPr>
            <w:rStyle w:val="Hyperlink"/>
            <w:rFonts w:cstheme="minorHAnsi"/>
            <w:color w:val="3E5C61" w:themeColor="text2"/>
            <w:sz w:val="18"/>
            <w:szCs w:val="18"/>
          </w:rPr>
          <w:t>https://doi.org/10.1080/00313831.2019.1623311</w:t>
        </w:r>
      </w:hyperlink>
      <w:r w:rsidRPr="00783739">
        <w:rPr>
          <w:rFonts w:cstheme="minorHAnsi"/>
          <w:color w:val="3E5C61" w:themeColor="text2"/>
          <w:sz w:val="18"/>
          <w:szCs w:val="18"/>
        </w:rPr>
        <w:t xml:space="preserve"> </w:t>
      </w:r>
      <w:r w:rsidRPr="00783739">
        <w:rPr>
          <w:rFonts w:cstheme="minorHAnsi"/>
          <w:color w:val="3E5C61" w:themeColor="text2"/>
          <w:sz w:val="18"/>
          <w:szCs w:val="18"/>
        </w:rPr>
        <w:br/>
        <w:t xml:space="preserve">Choi, B. C., &amp; Pak, A. W. (2006). </w:t>
      </w:r>
      <w:proofErr w:type="spellStart"/>
      <w:r w:rsidRPr="00783739">
        <w:rPr>
          <w:rFonts w:cstheme="minorHAnsi"/>
          <w:color w:val="3E5C61" w:themeColor="text2"/>
          <w:sz w:val="18"/>
          <w:szCs w:val="18"/>
        </w:rPr>
        <w:t>Multidisciplinarity</w:t>
      </w:r>
      <w:proofErr w:type="spellEnd"/>
      <w:r w:rsidRPr="00783739">
        <w:rPr>
          <w:rFonts w:cstheme="minorHAnsi"/>
          <w:color w:val="3E5C61" w:themeColor="text2"/>
          <w:sz w:val="18"/>
          <w:szCs w:val="18"/>
        </w:rPr>
        <w:t xml:space="preserve">, interdisciplinarity and </w:t>
      </w:r>
      <w:proofErr w:type="spellStart"/>
      <w:r w:rsidRPr="00783739">
        <w:rPr>
          <w:rFonts w:cstheme="minorHAnsi"/>
          <w:color w:val="3E5C61" w:themeColor="text2"/>
          <w:sz w:val="18"/>
          <w:szCs w:val="18"/>
        </w:rPr>
        <w:t>transdisciplinarity</w:t>
      </w:r>
      <w:proofErr w:type="spellEnd"/>
      <w:r w:rsidRPr="00783739">
        <w:rPr>
          <w:rFonts w:cstheme="minorHAnsi"/>
          <w:color w:val="3E5C61" w:themeColor="text2"/>
          <w:sz w:val="18"/>
          <w:szCs w:val="18"/>
        </w:rPr>
        <w:t xml:space="preserve"> in health research, services, education and policy: 1. Definitions, objectives, and evidence of effectiveness. Clinical and investigative medicine. </w:t>
      </w:r>
      <w:proofErr w:type="spellStart"/>
      <w:r w:rsidRPr="00783739">
        <w:rPr>
          <w:rFonts w:cstheme="minorHAnsi"/>
          <w:color w:val="3E5C61" w:themeColor="text2"/>
          <w:sz w:val="18"/>
          <w:szCs w:val="18"/>
        </w:rPr>
        <w:t>Medecine</w:t>
      </w:r>
      <w:proofErr w:type="spellEnd"/>
      <w:r w:rsidRPr="00783739">
        <w:rPr>
          <w:rFonts w:cstheme="minorHAnsi"/>
          <w:color w:val="3E5C61" w:themeColor="text2"/>
          <w:sz w:val="18"/>
          <w:szCs w:val="18"/>
        </w:rPr>
        <w:t xml:space="preserve"> </w:t>
      </w:r>
      <w:proofErr w:type="spellStart"/>
      <w:r w:rsidRPr="00783739">
        <w:rPr>
          <w:rFonts w:cstheme="minorHAnsi"/>
          <w:color w:val="3E5C61" w:themeColor="text2"/>
          <w:sz w:val="18"/>
          <w:szCs w:val="18"/>
        </w:rPr>
        <w:t>clinique</w:t>
      </w:r>
      <w:proofErr w:type="spellEnd"/>
      <w:r w:rsidRPr="00783739">
        <w:rPr>
          <w:rFonts w:cstheme="minorHAnsi"/>
          <w:color w:val="3E5C61" w:themeColor="text2"/>
          <w:sz w:val="18"/>
          <w:szCs w:val="18"/>
        </w:rPr>
        <w:t xml:space="preserve"> et </w:t>
      </w:r>
      <w:proofErr w:type="spellStart"/>
      <w:r w:rsidRPr="00783739">
        <w:rPr>
          <w:rFonts w:cstheme="minorHAnsi"/>
          <w:color w:val="3E5C61" w:themeColor="text2"/>
          <w:sz w:val="18"/>
          <w:szCs w:val="18"/>
        </w:rPr>
        <w:t>experimentale</w:t>
      </w:r>
      <w:proofErr w:type="spellEnd"/>
      <w:r w:rsidRPr="00783739">
        <w:rPr>
          <w:rFonts w:cstheme="minorHAnsi"/>
          <w:color w:val="3E5C61" w:themeColor="text2"/>
          <w:sz w:val="18"/>
          <w:szCs w:val="18"/>
        </w:rPr>
        <w:t>, 29(6), 351–364. </w:t>
      </w:r>
    </w:p>
    <w:p w14:paraId="7E62080C" w14:textId="61D1F060" w:rsidR="00EB02A9" w:rsidRPr="00EB02A9" w:rsidRDefault="00632CF7" w:rsidP="00EB02A9">
      <w:pPr>
        <w:spacing w:after="0" w:line="240" w:lineRule="auto"/>
        <w:rPr>
          <w:rFonts w:cstheme="minorHAnsi"/>
          <w:color w:val="3E5C61" w:themeColor="text2"/>
          <w:sz w:val="18"/>
          <w:szCs w:val="18"/>
        </w:rPr>
      </w:pPr>
      <w:r w:rsidRPr="00783739">
        <w:rPr>
          <w:rFonts w:cstheme="minorHAnsi"/>
          <w:color w:val="3E5C61" w:themeColor="text2"/>
          <w:sz w:val="18"/>
          <w:szCs w:val="18"/>
        </w:rPr>
        <w:t xml:space="preserve">Daniel, K. L., McConnell, M., Schuchardt, A., &amp; Peffer, M. E. (2022). Challenges facing interdisciplinary researchers: Findings from a professional development workshop. </w:t>
      </w:r>
      <w:proofErr w:type="spellStart"/>
      <w:r w:rsidRPr="00783739">
        <w:rPr>
          <w:rFonts w:cstheme="minorHAnsi"/>
          <w:color w:val="3E5C61" w:themeColor="text2"/>
          <w:sz w:val="18"/>
          <w:szCs w:val="18"/>
        </w:rPr>
        <w:t>PloS</w:t>
      </w:r>
      <w:proofErr w:type="spellEnd"/>
      <w:r w:rsidRPr="00783739">
        <w:rPr>
          <w:rFonts w:cstheme="minorHAnsi"/>
          <w:color w:val="3E5C61" w:themeColor="text2"/>
          <w:sz w:val="18"/>
          <w:szCs w:val="18"/>
        </w:rPr>
        <w:t xml:space="preserve"> one, 17(4), e0267234. </w:t>
      </w:r>
      <w:hyperlink r:id="rId13" w:history="1">
        <w:r w:rsidRPr="00783739">
          <w:rPr>
            <w:rStyle w:val="Hyperlink"/>
            <w:rFonts w:cstheme="minorHAnsi"/>
            <w:color w:val="3E5C61" w:themeColor="text2"/>
            <w:sz w:val="18"/>
            <w:szCs w:val="18"/>
          </w:rPr>
          <w:t>https://doi.org/10.1371/journal.pone.0267234</w:t>
        </w:r>
      </w:hyperlink>
      <w:r w:rsidRPr="00783739">
        <w:rPr>
          <w:rFonts w:cstheme="minorHAnsi"/>
          <w:color w:val="3E5C61" w:themeColor="text2"/>
          <w:sz w:val="18"/>
          <w:szCs w:val="18"/>
        </w:rPr>
        <w:t> </w:t>
      </w:r>
    </w:p>
    <w:p w14:paraId="29C01A70" w14:textId="354F507F" w:rsidR="00EB02A9" w:rsidRPr="00EB02A9" w:rsidRDefault="00EB02A9" w:rsidP="00632CF7">
      <w:pPr>
        <w:spacing w:after="0" w:line="240" w:lineRule="auto"/>
        <w:rPr>
          <w:rFonts w:cstheme="minorHAnsi"/>
          <w:color w:val="3E5C61" w:themeColor="text2"/>
          <w:sz w:val="18"/>
          <w:szCs w:val="18"/>
        </w:rPr>
      </w:pPr>
      <w:r w:rsidRPr="00EB02A9">
        <w:rPr>
          <w:rFonts w:cstheme="minorHAnsi"/>
          <w:color w:val="3E5C61" w:themeColor="text2"/>
          <w:sz w:val="18"/>
          <w:szCs w:val="18"/>
        </w:rPr>
        <w:t xml:space="preserve">Hardy, J.G., </w:t>
      </w:r>
      <w:proofErr w:type="spellStart"/>
      <w:r w:rsidRPr="00EB02A9">
        <w:rPr>
          <w:rFonts w:cstheme="minorHAnsi"/>
          <w:color w:val="3E5C61" w:themeColor="text2"/>
          <w:sz w:val="18"/>
          <w:szCs w:val="18"/>
        </w:rPr>
        <w:t>Sdepanian</w:t>
      </w:r>
      <w:proofErr w:type="spellEnd"/>
      <w:r w:rsidRPr="00EB02A9">
        <w:rPr>
          <w:rFonts w:cstheme="minorHAnsi"/>
          <w:color w:val="3E5C61" w:themeColor="text2"/>
          <w:sz w:val="18"/>
          <w:szCs w:val="18"/>
        </w:rPr>
        <w:t xml:space="preserve">, S., Stowell, A.F., </w:t>
      </w:r>
      <w:proofErr w:type="spellStart"/>
      <w:r w:rsidRPr="00EB02A9">
        <w:rPr>
          <w:rFonts w:cstheme="minorHAnsi"/>
          <w:color w:val="3E5C61" w:themeColor="text2"/>
          <w:sz w:val="18"/>
          <w:szCs w:val="18"/>
        </w:rPr>
        <w:t>Aljohani</w:t>
      </w:r>
      <w:proofErr w:type="spellEnd"/>
      <w:r w:rsidRPr="00EB02A9">
        <w:rPr>
          <w:rFonts w:cstheme="minorHAnsi"/>
          <w:color w:val="3E5C61" w:themeColor="text2"/>
          <w:sz w:val="18"/>
          <w:szCs w:val="18"/>
        </w:rPr>
        <w:t xml:space="preserve">, A.D., Allen, M.J., Anwar, A., Barton, D., Baum, J.V., Bird, D., Blaney, A., Brewster, L., </w:t>
      </w:r>
      <w:proofErr w:type="spellStart"/>
      <w:r w:rsidRPr="00EB02A9">
        <w:rPr>
          <w:rFonts w:cstheme="minorHAnsi"/>
          <w:color w:val="3E5C61" w:themeColor="text2"/>
          <w:sz w:val="18"/>
          <w:szCs w:val="18"/>
        </w:rPr>
        <w:t>Cheneler</w:t>
      </w:r>
      <w:proofErr w:type="spellEnd"/>
      <w:r w:rsidRPr="00EB02A9">
        <w:rPr>
          <w:rFonts w:cstheme="minorHAnsi"/>
          <w:color w:val="3E5C61" w:themeColor="text2"/>
          <w:sz w:val="18"/>
          <w:szCs w:val="18"/>
        </w:rPr>
        <w:t xml:space="preserve">, D., Efremova, O., Entwistle, M., Esfahani, R.N., </w:t>
      </w:r>
      <w:proofErr w:type="spellStart"/>
      <w:r w:rsidRPr="00EB02A9">
        <w:rPr>
          <w:rFonts w:cstheme="minorHAnsi"/>
          <w:color w:val="3E5C61" w:themeColor="text2"/>
          <w:sz w:val="18"/>
          <w:szCs w:val="18"/>
        </w:rPr>
        <w:t>Firlak</w:t>
      </w:r>
      <w:proofErr w:type="spellEnd"/>
      <w:r w:rsidRPr="00EB02A9">
        <w:rPr>
          <w:rFonts w:cstheme="minorHAnsi"/>
          <w:color w:val="3E5C61" w:themeColor="text2"/>
          <w:sz w:val="18"/>
          <w:szCs w:val="18"/>
        </w:rPr>
        <w:t xml:space="preserve">, M., Foito, A., </w:t>
      </w:r>
      <w:proofErr w:type="spellStart"/>
      <w:r w:rsidRPr="00EB02A9">
        <w:rPr>
          <w:rFonts w:cstheme="minorHAnsi"/>
          <w:color w:val="3E5C61" w:themeColor="text2"/>
          <w:sz w:val="18"/>
          <w:szCs w:val="18"/>
        </w:rPr>
        <w:t>Forciniti</w:t>
      </w:r>
      <w:proofErr w:type="spellEnd"/>
      <w:r w:rsidRPr="00EB02A9">
        <w:rPr>
          <w:rFonts w:cstheme="minorHAnsi"/>
          <w:color w:val="3E5C61" w:themeColor="text2"/>
          <w:sz w:val="18"/>
          <w:szCs w:val="18"/>
        </w:rPr>
        <w:t xml:space="preserve">., L., Geissler, S. A., Guo, F., </w:t>
      </w:r>
      <w:proofErr w:type="spellStart"/>
      <w:r w:rsidRPr="00EB02A9">
        <w:rPr>
          <w:rFonts w:cstheme="minorHAnsi"/>
          <w:color w:val="3E5C61" w:themeColor="text2"/>
          <w:sz w:val="18"/>
          <w:szCs w:val="18"/>
        </w:rPr>
        <w:t>Hathout</w:t>
      </w:r>
      <w:proofErr w:type="spellEnd"/>
      <w:r w:rsidRPr="00EB02A9">
        <w:rPr>
          <w:rFonts w:cstheme="minorHAnsi"/>
          <w:color w:val="3E5C61" w:themeColor="text2"/>
          <w:sz w:val="18"/>
          <w:szCs w:val="18"/>
        </w:rPr>
        <w:t xml:space="preserve">, R.M., . . . Wright, K.L. (2021). Potential for chemistry in multidisciplinary, interdisciplinary, and transdisciplinary teaching activities in higher education. </w:t>
      </w:r>
      <w:r w:rsidRPr="00EB02A9">
        <w:rPr>
          <w:rFonts w:cstheme="minorHAnsi"/>
          <w:i/>
          <w:iCs/>
          <w:color w:val="3E5C61" w:themeColor="text2"/>
          <w:sz w:val="18"/>
          <w:szCs w:val="18"/>
        </w:rPr>
        <w:t>Journal of Chemical Education, 98</w:t>
      </w:r>
      <w:r w:rsidRPr="00EB02A9">
        <w:rPr>
          <w:rFonts w:cstheme="minorHAnsi"/>
          <w:color w:val="3E5C61" w:themeColor="text2"/>
          <w:sz w:val="18"/>
          <w:szCs w:val="18"/>
        </w:rPr>
        <w:t xml:space="preserve">(4), 1124–1145. </w:t>
      </w:r>
      <w:hyperlink r:id="rId14" w:history="1">
        <w:r w:rsidRPr="00EB02A9">
          <w:rPr>
            <w:rStyle w:val="Hyperlink"/>
            <w:rFonts w:cstheme="minorHAnsi"/>
            <w:sz w:val="18"/>
            <w:szCs w:val="18"/>
          </w:rPr>
          <w:t>https://doi.org/10.1021/acs.jchemed.0c01363</w:t>
        </w:r>
      </w:hyperlink>
      <w:r w:rsidRPr="00EB02A9">
        <w:rPr>
          <w:rFonts w:cstheme="minorHAnsi"/>
          <w:color w:val="3E5C61" w:themeColor="text2"/>
          <w:sz w:val="18"/>
          <w:szCs w:val="18"/>
        </w:rPr>
        <w:t xml:space="preserve"> </w:t>
      </w:r>
    </w:p>
    <w:p w14:paraId="1AF4FEA3" w14:textId="48A1B91B" w:rsidR="00632CF7" w:rsidRPr="00783739" w:rsidRDefault="00632CF7" w:rsidP="00632CF7">
      <w:pPr>
        <w:spacing w:after="0" w:line="240" w:lineRule="auto"/>
        <w:rPr>
          <w:rFonts w:cstheme="minorHAnsi"/>
          <w:color w:val="3E5C61" w:themeColor="text2"/>
          <w:sz w:val="18"/>
          <w:szCs w:val="18"/>
        </w:rPr>
      </w:pPr>
      <w:r w:rsidRPr="00783739">
        <w:rPr>
          <w:rFonts w:cstheme="minorHAnsi"/>
          <w:color w:val="3E5C61" w:themeColor="text2"/>
          <w:sz w:val="18"/>
          <w:szCs w:val="18"/>
        </w:rPr>
        <w:t xml:space="preserve">Northeastern Center for Advancing Teaching and Learning Through Research. (2022, February). Multidisciplinary teaching: More lenses reveal more meaning. Northeastern. </w:t>
      </w:r>
      <w:hyperlink r:id="rId15" w:history="1">
        <w:r w:rsidRPr="00783739">
          <w:rPr>
            <w:rStyle w:val="Hyperlink"/>
            <w:rFonts w:cstheme="minorHAnsi"/>
            <w:color w:val="3E5C61" w:themeColor="text2"/>
            <w:sz w:val="18"/>
            <w:szCs w:val="18"/>
          </w:rPr>
          <w:t>https://learning.northeastern.edu/multidisciplinary-teaching/</w:t>
        </w:r>
      </w:hyperlink>
      <w:r w:rsidRPr="00783739">
        <w:rPr>
          <w:rFonts w:cstheme="minorHAnsi"/>
          <w:color w:val="3E5C61" w:themeColor="text2"/>
          <w:sz w:val="18"/>
          <w:szCs w:val="18"/>
        </w:rPr>
        <w:t> </w:t>
      </w:r>
    </w:p>
    <w:p w14:paraId="25A52C51" w14:textId="533C607A" w:rsidR="00632CF7" w:rsidRPr="00783739" w:rsidRDefault="00632CF7" w:rsidP="00632CF7">
      <w:pPr>
        <w:spacing w:after="0" w:line="240" w:lineRule="auto"/>
        <w:rPr>
          <w:rFonts w:cstheme="minorHAnsi"/>
          <w:color w:val="3E5C61" w:themeColor="text2"/>
          <w:sz w:val="18"/>
          <w:szCs w:val="18"/>
        </w:rPr>
      </w:pPr>
      <w:r w:rsidRPr="00783739">
        <w:rPr>
          <w:rFonts w:cstheme="minorHAnsi"/>
          <w:color w:val="3E5C61" w:themeColor="text2"/>
          <w:sz w:val="18"/>
          <w:szCs w:val="18"/>
        </w:rPr>
        <w:t>Razzaq, J., Townsend, T., &amp; Pisapia, J. (2013) Towards</w:t>
      </w:r>
      <w:r w:rsidRPr="00EB02A9">
        <w:rPr>
          <w:rFonts w:cstheme="minorHAnsi"/>
          <w:color w:val="3E5C61" w:themeColor="text2"/>
          <w:sz w:val="18"/>
          <w:szCs w:val="18"/>
        </w:rPr>
        <w:t xml:space="preserve"> </w:t>
      </w:r>
      <w:r w:rsidRPr="00783739">
        <w:rPr>
          <w:rFonts w:cstheme="minorHAnsi"/>
          <w:color w:val="3E5C61" w:themeColor="text2"/>
          <w:sz w:val="18"/>
          <w:szCs w:val="18"/>
        </w:rPr>
        <w:t xml:space="preserve">an understanding of interdisciplinarity: The case of a British university. Issues in Interdisciplinary Studies, 31(1), 149-173. </w:t>
      </w:r>
      <w:hyperlink r:id="rId16" w:history="1">
        <w:r w:rsidRPr="00783739">
          <w:rPr>
            <w:rStyle w:val="Hyperlink"/>
            <w:rFonts w:cstheme="minorHAnsi"/>
            <w:color w:val="3E5C61" w:themeColor="text2"/>
            <w:sz w:val="18"/>
            <w:szCs w:val="18"/>
          </w:rPr>
          <w:t>https://files.eric.ed.gov/fulltext/EJ1101097.pdf</w:t>
        </w:r>
      </w:hyperlink>
      <w:r w:rsidRPr="00783739">
        <w:rPr>
          <w:rFonts w:cstheme="minorHAnsi"/>
          <w:color w:val="3E5C61" w:themeColor="text2"/>
          <w:sz w:val="18"/>
          <w:szCs w:val="18"/>
        </w:rPr>
        <w:t> </w:t>
      </w:r>
    </w:p>
    <w:p w14:paraId="294409AD" w14:textId="1C92D213" w:rsidR="00632CF7" w:rsidRPr="00783739" w:rsidRDefault="00632CF7" w:rsidP="00632CF7">
      <w:pPr>
        <w:spacing w:after="0" w:line="240" w:lineRule="auto"/>
        <w:rPr>
          <w:rFonts w:cstheme="minorHAnsi"/>
          <w:color w:val="3E5C61" w:themeColor="text2"/>
          <w:sz w:val="18"/>
          <w:szCs w:val="18"/>
        </w:rPr>
      </w:pPr>
      <w:r w:rsidRPr="00783739">
        <w:rPr>
          <w:rFonts w:cstheme="minorHAnsi"/>
          <w:color w:val="3E5C61" w:themeColor="text2"/>
          <w:sz w:val="18"/>
          <w:szCs w:val="18"/>
        </w:rPr>
        <w:t xml:space="preserve">Rogers, G. L. (2016). The music of the spheres: Cross-curricular perspectives on music and science. Music Educators Journal, 103(1), 41–48. </w:t>
      </w:r>
      <w:hyperlink r:id="rId17" w:history="1">
        <w:r w:rsidRPr="00783739">
          <w:rPr>
            <w:rStyle w:val="Hyperlink"/>
            <w:rFonts w:cstheme="minorHAnsi"/>
            <w:color w:val="3E5C61" w:themeColor="text2"/>
            <w:sz w:val="18"/>
            <w:szCs w:val="18"/>
          </w:rPr>
          <w:t>http://www.jstor.org/stable/44677800</w:t>
        </w:r>
      </w:hyperlink>
      <w:r w:rsidRPr="00783739">
        <w:rPr>
          <w:rFonts w:cstheme="minorHAnsi"/>
          <w:color w:val="3E5C61" w:themeColor="text2"/>
          <w:sz w:val="18"/>
          <w:szCs w:val="18"/>
        </w:rPr>
        <w:t> </w:t>
      </w:r>
      <w:r w:rsidRPr="00EB02A9">
        <w:rPr>
          <w:rFonts w:cstheme="minorHAnsi"/>
          <w:color w:val="3E5C61" w:themeColor="text2"/>
          <w:sz w:val="18"/>
          <w:szCs w:val="18"/>
        </w:rPr>
        <w:br/>
        <w:t xml:space="preserve">Terjesen, S., &amp; Politis, D. (2015). From the editors: In praise of multidisciplinary scholarship and the polymath. Academy of Management Learning &amp; Education, 14(2), 151–157. </w:t>
      </w:r>
      <w:hyperlink r:id="rId18" w:history="1">
        <w:r w:rsidRPr="00EB02A9">
          <w:rPr>
            <w:rStyle w:val="Hyperlink"/>
            <w:rFonts w:cstheme="minorHAnsi"/>
            <w:color w:val="3E5C61" w:themeColor="text2"/>
            <w:sz w:val="18"/>
            <w:szCs w:val="18"/>
          </w:rPr>
          <w:t>http://www.jstor.org/stable/43697258</w:t>
        </w:r>
      </w:hyperlink>
    </w:p>
    <w:p w14:paraId="01EB2333" w14:textId="77777777" w:rsidR="00632CF7" w:rsidRPr="00632CF7" w:rsidRDefault="00632CF7" w:rsidP="00632CF7"/>
    <w:sectPr w:rsidR="00632CF7" w:rsidRPr="00632CF7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FAB4A9" w14:textId="77777777" w:rsidR="00C679A6" w:rsidRDefault="00C679A6" w:rsidP="00293785">
      <w:pPr>
        <w:spacing w:after="0" w:line="240" w:lineRule="auto"/>
      </w:pPr>
      <w:r>
        <w:separator/>
      </w:r>
    </w:p>
  </w:endnote>
  <w:endnote w:type="continuationSeparator" w:id="0">
    <w:p w14:paraId="677DF498" w14:textId="77777777" w:rsidR="00C679A6" w:rsidRDefault="00C679A6" w:rsidP="00293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9E6FB" w14:textId="77777777" w:rsidR="004E74C0" w:rsidRDefault="004E74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31DFC" w14:textId="252F6AF0" w:rsidR="00293785" w:rsidRDefault="00941579">
    <w:pPr>
      <w:pStyle w:val="Footer"/>
    </w:pPr>
    <w:r w:rsidRPr="00293785">
      <w:rPr>
        <w:noProof/>
      </w:rPr>
      <w:drawing>
        <wp:anchor distT="0" distB="0" distL="114300" distR="114300" simplePos="0" relativeHeight="251648000" behindDoc="1" locked="0" layoutInCell="1" allowOverlap="1" wp14:anchorId="1B2EFED6" wp14:editId="1BC76E82">
          <wp:simplePos x="0" y="0"/>
          <wp:positionH relativeFrom="column">
            <wp:posOffset>852256</wp:posOffset>
          </wp:positionH>
          <wp:positionV relativeFrom="paragraph">
            <wp:posOffset>-209001</wp:posOffset>
          </wp:positionV>
          <wp:extent cx="4749375" cy="316856"/>
          <wp:effectExtent l="0" t="0" r="0" b="127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7005" cy="3660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293785"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75203A79" wp14:editId="07372782">
              <wp:simplePos x="0" y="0"/>
              <wp:positionH relativeFrom="column">
                <wp:posOffset>-44388</wp:posOffset>
              </wp:positionH>
              <wp:positionV relativeFrom="paragraph">
                <wp:posOffset>-262267</wp:posOffset>
              </wp:positionV>
              <wp:extent cx="5190107" cy="285750"/>
              <wp:effectExtent l="0" t="0" r="0" b="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90107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860B40" w14:textId="280E9510" w:rsidR="00293785" w:rsidRDefault="00000000" w:rsidP="00D106FF">
                          <w:pPr>
                            <w:pStyle w:val="LessonFooter"/>
                          </w:pPr>
                          <w:sdt>
                            <w:sdtPr>
                              <w:alias w:val="Title"/>
                              <w:tag w:val=""/>
                              <w:id w:val="1281607793"/>
                              <w:placeholder>
                                <w:docPart w:val="2C5B4044C3E9A44C9E245EEB2A2EBBE9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r w:rsidR="00941579">
                                <w:t>MultiDisciplinary and Cross-Curricular Research Brief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203A7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-3.5pt;margin-top:-20.65pt;width:408.65pt;height:2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" filled="f" stroked="f">
              <v:textbox>
                <w:txbxContent>
                  <w:p w14:paraId="66860B40" w14:textId="280E9510" w:rsidR="00293785" w:rsidRDefault="00000000" w:rsidP="00D106FF">
                    <w:pPr>
                      <w:pStyle w:val="LessonFooter"/>
                    </w:pPr>
                    <w:sdt>
                      <w:sdtPr>
                        <w:alias w:val="Title"/>
                        <w:tag w:val=""/>
                        <w:id w:val="1281607793"/>
                        <w:placeholder>
                          <w:docPart w:val="2C5B4044C3E9A44C9E245EEB2A2EBBE9"/>
                        </w:placeholder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Content>
                        <w:r w:rsidR="00941579">
                          <w:t>MultiDisciplinary and Cross-Curricular Research Brief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A4CBC" w14:textId="77777777" w:rsidR="004E74C0" w:rsidRDefault="004E74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03D1A" w14:textId="77777777" w:rsidR="00C679A6" w:rsidRDefault="00C679A6" w:rsidP="00293785">
      <w:pPr>
        <w:spacing w:after="0" w:line="240" w:lineRule="auto"/>
      </w:pPr>
      <w:r>
        <w:separator/>
      </w:r>
    </w:p>
  </w:footnote>
  <w:footnote w:type="continuationSeparator" w:id="0">
    <w:p w14:paraId="48A0EE25" w14:textId="77777777" w:rsidR="00C679A6" w:rsidRDefault="00C679A6" w:rsidP="002937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F0F4A" w14:textId="77777777" w:rsidR="0079768E" w:rsidRDefault="007976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ABDE3" w14:textId="77777777" w:rsidR="0079768E" w:rsidRDefault="0079768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11AFBE" w14:textId="77777777" w:rsidR="0079768E" w:rsidRDefault="007976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EC7015"/>
    <w:multiLevelType w:val="hybridMultilevel"/>
    <w:tmpl w:val="2E467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69620D"/>
    <w:multiLevelType w:val="hybridMultilevel"/>
    <w:tmpl w:val="9CFAB25A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2" w15:restartNumberingAfterBreak="0">
    <w:nsid w:val="40262599"/>
    <w:multiLevelType w:val="hybridMultilevel"/>
    <w:tmpl w:val="28A491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FC7CBF"/>
    <w:multiLevelType w:val="hybridMultilevel"/>
    <w:tmpl w:val="01F690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D67D3"/>
    <w:multiLevelType w:val="hybridMultilevel"/>
    <w:tmpl w:val="9188A6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1411CA"/>
    <w:multiLevelType w:val="hybridMultilevel"/>
    <w:tmpl w:val="6F2A24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303056"/>
    <w:multiLevelType w:val="hybridMultilevel"/>
    <w:tmpl w:val="3E9C61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8F634E"/>
    <w:multiLevelType w:val="hybridMultilevel"/>
    <w:tmpl w:val="3E9C61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E109C0"/>
    <w:multiLevelType w:val="hybridMultilevel"/>
    <w:tmpl w:val="895067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C587C53"/>
    <w:multiLevelType w:val="hybridMultilevel"/>
    <w:tmpl w:val="804EC7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EDC1AFB"/>
    <w:multiLevelType w:val="hybridMultilevel"/>
    <w:tmpl w:val="7B06F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7136774">
    <w:abstractNumId w:val="6"/>
  </w:num>
  <w:num w:numId="2" w16cid:durableId="307134351">
    <w:abstractNumId w:val="7"/>
  </w:num>
  <w:num w:numId="3" w16cid:durableId="2005890675">
    <w:abstractNumId w:val="0"/>
  </w:num>
  <w:num w:numId="4" w16cid:durableId="1302803338">
    <w:abstractNumId w:val="2"/>
  </w:num>
  <w:num w:numId="5" w16cid:durableId="313683763">
    <w:abstractNumId w:val="3"/>
  </w:num>
  <w:num w:numId="6" w16cid:durableId="745541507">
    <w:abstractNumId w:val="5"/>
  </w:num>
  <w:num w:numId="7" w16cid:durableId="26295782">
    <w:abstractNumId w:val="4"/>
  </w:num>
  <w:num w:numId="8" w16cid:durableId="2102989223">
    <w:abstractNumId w:val="8"/>
  </w:num>
  <w:num w:numId="9" w16cid:durableId="1681083592">
    <w:abstractNumId w:val="9"/>
  </w:num>
  <w:num w:numId="10" w16cid:durableId="1329282521">
    <w:abstractNumId w:val="10"/>
  </w:num>
  <w:num w:numId="11" w16cid:durableId="1308765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CC4"/>
    <w:rsid w:val="0004006F"/>
    <w:rsid w:val="00053775"/>
    <w:rsid w:val="0005619A"/>
    <w:rsid w:val="0008589D"/>
    <w:rsid w:val="000B075F"/>
    <w:rsid w:val="000C744E"/>
    <w:rsid w:val="000F72E1"/>
    <w:rsid w:val="0011259B"/>
    <w:rsid w:val="00116FDD"/>
    <w:rsid w:val="00125621"/>
    <w:rsid w:val="0017138D"/>
    <w:rsid w:val="001A1988"/>
    <w:rsid w:val="001D0BBF"/>
    <w:rsid w:val="001E1F85"/>
    <w:rsid w:val="001E656A"/>
    <w:rsid w:val="001F125D"/>
    <w:rsid w:val="00203ADF"/>
    <w:rsid w:val="002345CC"/>
    <w:rsid w:val="002851BA"/>
    <w:rsid w:val="00293785"/>
    <w:rsid w:val="002B148C"/>
    <w:rsid w:val="002C0879"/>
    <w:rsid w:val="002C37B4"/>
    <w:rsid w:val="002D7716"/>
    <w:rsid w:val="00351CFD"/>
    <w:rsid w:val="0036040A"/>
    <w:rsid w:val="00362427"/>
    <w:rsid w:val="00397FA9"/>
    <w:rsid w:val="003E63A8"/>
    <w:rsid w:val="00432D79"/>
    <w:rsid w:val="00446C13"/>
    <w:rsid w:val="004777EE"/>
    <w:rsid w:val="00494BB9"/>
    <w:rsid w:val="004E74C0"/>
    <w:rsid w:val="005078B4"/>
    <w:rsid w:val="0053328A"/>
    <w:rsid w:val="00540FC6"/>
    <w:rsid w:val="00541E35"/>
    <w:rsid w:val="005511B6"/>
    <w:rsid w:val="00553C98"/>
    <w:rsid w:val="00563ED5"/>
    <w:rsid w:val="005A69FC"/>
    <w:rsid w:val="005A7635"/>
    <w:rsid w:val="005C215D"/>
    <w:rsid w:val="005C7FDE"/>
    <w:rsid w:val="005D3424"/>
    <w:rsid w:val="00600CC4"/>
    <w:rsid w:val="00632CF7"/>
    <w:rsid w:val="00645D7F"/>
    <w:rsid w:val="00656940"/>
    <w:rsid w:val="006611B8"/>
    <w:rsid w:val="006643F0"/>
    <w:rsid w:val="00665274"/>
    <w:rsid w:val="00666C03"/>
    <w:rsid w:val="00686DAB"/>
    <w:rsid w:val="006B048B"/>
    <w:rsid w:val="006B4CC2"/>
    <w:rsid w:val="006E1542"/>
    <w:rsid w:val="00721EA4"/>
    <w:rsid w:val="00727C0F"/>
    <w:rsid w:val="00763E53"/>
    <w:rsid w:val="0079768E"/>
    <w:rsid w:val="00797CB5"/>
    <w:rsid w:val="007B055F"/>
    <w:rsid w:val="007D492D"/>
    <w:rsid w:val="007E6F1D"/>
    <w:rsid w:val="007F591D"/>
    <w:rsid w:val="00880013"/>
    <w:rsid w:val="008920A4"/>
    <w:rsid w:val="008A6AC1"/>
    <w:rsid w:val="008C525B"/>
    <w:rsid w:val="008D63A6"/>
    <w:rsid w:val="008F02BF"/>
    <w:rsid w:val="008F27AD"/>
    <w:rsid w:val="008F5386"/>
    <w:rsid w:val="00913172"/>
    <w:rsid w:val="00941579"/>
    <w:rsid w:val="00981E19"/>
    <w:rsid w:val="009A20E7"/>
    <w:rsid w:val="009B52E4"/>
    <w:rsid w:val="009D6E8D"/>
    <w:rsid w:val="00A101E8"/>
    <w:rsid w:val="00A565D2"/>
    <w:rsid w:val="00A70167"/>
    <w:rsid w:val="00A95DF3"/>
    <w:rsid w:val="00AC349E"/>
    <w:rsid w:val="00B12474"/>
    <w:rsid w:val="00B27CAA"/>
    <w:rsid w:val="00B92DBF"/>
    <w:rsid w:val="00BB03C4"/>
    <w:rsid w:val="00BB744F"/>
    <w:rsid w:val="00BD03B9"/>
    <w:rsid w:val="00BD119F"/>
    <w:rsid w:val="00C45C0A"/>
    <w:rsid w:val="00C53F53"/>
    <w:rsid w:val="00C679A6"/>
    <w:rsid w:val="00C73EA1"/>
    <w:rsid w:val="00C8524A"/>
    <w:rsid w:val="00C94B4E"/>
    <w:rsid w:val="00CB60F1"/>
    <w:rsid w:val="00CC4F77"/>
    <w:rsid w:val="00CC65EE"/>
    <w:rsid w:val="00CD3CF6"/>
    <w:rsid w:val="00CE336D"/>
    <w:rsid w:val="00D02B0F"/>
    <w:rsid w:val="00D106FF"/>
    <w:rsid w:val="00D269D8"/>
    <w:rsid w:val="00D626EB"/>
    <w:rsid w:val="00D84584"/>
    <w:rsid w:val="00D96CF0"/>
    <w:rsid w:val="00DC7A6D"/>
    <w:rsid w:val="00DD63F8"/>
    <w:rsid w:val="00EA1AD1"/>
    <w:rsid w:val="00EA74D2"/>
    <w:rsid w:val="00EB02A9"/>
    <w:rsid w:val="00ED24C8"/>
    <w:rsid w:val="00F315F7"/>
    <w:rsid w:val="00F377E2"/>
    <w:rsid w:val="00F50748"/>
    <w:rsid w:val="00F51DFD"/>
    <w:rsid w:val="00F72D02"/>
    <w:rsid w:val="00F7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44E71E"/>
  <w15:docId w15:val="{A0D8C235-8117-2C4D-8CE2-EDCCE5300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next w:val="BodyText"/>
    <w:qFormat/>
    <w:rsid w:val="00AC349E"/>
    <w:pPr>
      <w:spacing w:after="120" w:line="276" w:lineRule="auto"/>
    </w:pPr>
    <w:rPr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B4CC2"/>
    <w:pPr>
      <w:keepNext/>
      <w:keepLines/>
      <w:spacing w:before="200"/>
      <w:outlineLvl w:val="0"/>
    </w:pPr>
    <w:rPr>
      <w:rFonts w:asciiTheme="majorHAnsi" w:eastAsiaTheme="majorEastAsia" w:hAnsiTheme="majorHAnsi" w:cstheme="majorBidi"/>
      <w:b/>
      <w:color w:val="910D28" w:themeColor="accent1"/>
      <w:szCs w:val="32"/>
      <w:shd w:val="clear" w:color="auto" w:fill="FFFFFF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E15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i/>
      <w:color w:val="910D28" w:themeColor="accen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721EA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i/>
      <w:color w:val="3E5C61" w:themeColor="text2"/>
      <w:szCs w:val="24"/>
    </w:rPr>
  </w:style>
  <w:style w:type="paragraph" w:styleId="Heading4">
    <w:name w:val="heading 4"/>
    <w:basedOn w:val="Normal"/>
    <w:next w:val="Normal"/>
    <w:autoRedefine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6C091D" w:themeColor="accent1" w:themeShade="BF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C091D" w:themeColor="accent1" w:themeShade="BF"/>
    </w:rPr>
  </w:style>
  <w:style w:type="paragraph" w:styleId="Heading6">
    <w:name w:val="heading 6"/>
    <w:basedOn w:val="Normal"/>
    <w:next w:val="Normal"/>
    <w:uiPriority w:val="9"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48061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autoRedefine/>
    <w:uiPriority w:val="10"/>
    <w:qFormat/>
    <w:rsid w:val="00DC7A6D"/>
    <w:pPr>
      <w:spacing w:after="240" w:line="240" w:lineRule="auto"/>
      <w:outlineLvl w:val="0"/>
    </w:pPr>
    <w:rPr>
      <w:rFonts w:asciiTheme="majorHAnsi" w:eastAsiaTheme="majorEastAsia" w:hAnsiTheme="majorHAnsi" w:cstheme="majorBidi"/>
      <w:b/>
      <w:caps/>
      <w:kern w:val="28"/>
      <w:sz w:val="32"/>
      <w:szCs w:val="56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785"/>
  </w:style>
  <w:style w:type="paragraph" w:styleId="Footer">
    <w:name w:val="footer"/>
    <w:basedOn w:val="Normal"/>
    <w:link w:val="FooterChar"/>
    <w:uiPriority w:val="99"/>
    <w:unhideWhenUsed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785"/>
  </w:style>
  <w:style w:type="paragraph" w:customStyle="1" w:styleId="Citation">
    <w:name w:val="Citation"/>
    <w:basedOn w:val="Normal"/>
    <w:next w:val="FootnoteText"/>
    <w:qFormat/>
    <w:rsid w:val="00AC349E"/>
    <w:pPr>
      <w:ind w:left="720" w:hanging="720"/>
    </w:pPr>
    <w:rPr>
      <w:i/>
      <w:color w:val="3E5C61"/>
      <w:sz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C349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C349E"/>
    <w:rPr>
      <w:sz w:val="20"/>
      <w:szCs w:val="20"/>
    </w:rPr>
  </w:style>
  <w:style w:type="paragraph" w:customStyle="1" w:styleId="LessonFooter">
    <w:name w:val="Lesson Footer"/>
    <w:basedOn w:val="Footer"/>
    <w:next w:val="Footer"/>
    <w:link w:val="LessonFooterChar"/>
    <w:autoRedefine/>
    <w:qFormat/>
    <w:rsid w:val="00AC349E"/>
    <w:pPr>
      <w:jc w:val="right"/>
    </w:pPr>
    <w:rPr>
      <w:b/>
      <w:caps/>
      <w:color w:val="2D2D2D"/>
    </w:rPr>
  </w:style>
  <w:style w:type="character" w:customStyle="1" w:styleId="LessonFooterChar">
    <w:name w:val="Lesson Footer Char"/>
    <w:basedOn w:val="TitleChar"/>
    <w:link w:val="LessonFooter"/>
    <w:rsid w:val="00AC349E"/>
    <w:rPr>
      <w:rFonts w:asciiTheme="majorHAnsi" w:eastAsiaTheme="majorEastAsia" w:hAnsiTheme="majorHAnsi" w:cstheme="majorBidi"/>
      <w:b/>
      <w:caps/>
      <w:color w:val="2D2D2D"/>
      <w:spacing w:val="-10"/>
      <w:kern w:val="28"/>
      <w:sz w:val="24"/>
      <w:szCs w:val="56"/>
    </w:rPr>
  </w:style>
  <w:style w:type="paragraph" w:customStyle="1" w:styleId="CaptionCutline">
    <w:name w:val="Caption/Cutline"/>
    <w:basedOn w:val="CommentText"/>
    <w:link w:val="CaptionCutlineChar"/>
    <w:qFormat/>
    <w:rsid w:val="006E1542"/>
    <w:pPr>
      <w:spacing w:after="0"/>
    </w:pPr>
    <w:rPr>
      <w:i/>
      <w:color w:val="626262"/>
      <w:sz w:val="18"/>
    </w:rPr>
  </w:style>
  <w:style w:type="character" w:customStyle="1" w:styleId="CaptionCutlineChar">
    <w:name w:val="Caption/Cutline Char"/>
    <w:basedOn w:val="CommentTextChar"/>
    <w:link w:val="CaptionCutline"/>
    <w:rsid w:val="006E1542"/>
    <w:rPr>
      <w:i/>
      <w:color w:val="626262"/>
      <w:sz w:val="18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34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349E"/>
    <w:rPr>
      <w:sz w:val="20"/>
      <w:szCs w:val="20"/>
    </w:rPr>
  </w:style>
  <w:style w:type="paragraph" w:customStyle="1" w:styleId="OtherHeadings">
    <w:name w:val="Other Headings"/>
    <w:basedOn w:val="Heading3"/>
    <w:next w:val="Heading3"/>
    <w:rsid w:val="005078B4"/>
    <w:pPr>
      <w:spacing w:before="200"/>
    </w:pPr>
    <w:rPr>
      <w:color w:val="3E5C61"/>
    </w:rPr>
  </w:style>
  <w:style w:type="paragraph" w:styleId="BodyText">
    <w:name w:val="Body Text"/>
    <w:basedOn w:val="Normal"/>
    <w:link w:val="BodyTextChar"/>
    <w:uiPriority w:val="99"/>
    <w:unhideWhenUsed/>
    <w:rsid w:val="00AC349E"/>
  </w:style>
  <w:style w:type="character" w:customStyle="1" w:styleId="BodyTextChar">
    <w:name w:val="Body Text Char"/>
    <w:basedOn w:val="DefaultParagraphFont"/>
    <w:link w:val="BodyText"/>
    <w:uiPriority w:val="99"/>
    <w:rsid w:val="00AC349E"/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B4CC2"/>
    <w:rPr>
      <w:rFonts w:asciiTheme="majorHAnsi" w:eastAsiaTheme="majorEastAsia" w:hAnsiTheme="majorHAnsi" w:cstheme="majorBidi"/>
      <w:b/>
      <w:color w:val="910D28" w:themeColor="accen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E1542"/>
    <w:rPr>
      <w:rFonts w:asciiTheme="majorHAnsi" w:eastAsiaTheme="majorEastAsia" w:hAnsiTheme="majorHAnsi" w:cstheme="majorBidi"/>
      <w:i/>
      <w:color w:val="910D28" w:themeColor="accen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1EA4"/>
    <w:rPr>
      <w:rFonts w:asciiTheme="majorHAnsi" w:eastAsiaTheme="majorEastAsia" w:hAnsiTheme="majorHAnsi" w:cstheme="majorBidi"/>
      <w:i/>
      <w:color w:val="3E5C61" w:themeColor="text2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DC7A6D"/>
    <w:rPr>
      <w:rFonts w:asciiTheme="majorHAnsi" w:eastAsiaTheme="majorEastAsia" w:hAnsiTheme="majorHAnsi" w:cstheme="majorBidi"/>
      <w:b/>
      <w:caps/>
      <w:kern w:val="28"/>
      <w:sz w:val="32"/>
      <w:szCs w:val="56"/>
    </w:rPr>
  </w:style>
  <w:style w:type="paragraph" w:styleId="Quote">
    <w:name w:val="Quote"/>
    <w:aliases w:val="Block Quote"/>
    <w:basedOn w:val="Normal"/>
    <w:next w:val="Normal"/>
    <w:link w:val="QuoteChar"/>
    <w:uiPriority w:val="29"/>
    <w:qFormat/>
    <w:rsid w:val="00AC349E"/>
    <w:pPr>
      <w:spacing w:before="120"/>
      <w:ind w:left="1152" w:right="1152"/>
      <w:jc w:val="both"/>
    </w:pPr>
    <w:rPr>
      <w:i/>
      <w:iCs/>
      <w:color w:val="626262"/>
    </w:rPr>
  </w:style>
  <w:style w:type="character" w:customStyle="1" w:styleId="QuoteChar">
    <w:name w:val="Quote Char"/>
    <w:aliases w:val="Block Quote Char"/>
    <w:basedOn w:val="DefaultParagraphFont"/>
    <w:link w:val="Quote"/>
    <w:uiPriority w:val="29"/>
    <w:rsid w:val="00AC349E"/>
    <w:rPr>
      <w:i/>
      <w:iCs/>
      <w:color w:val="626262"/>
      <w:sz w:val="24"/>
    </w:rPr>
  </w:style>
  <w:style w:type="paragraph" w:styleId="NormalWeb">
    <w:name w:val="Normal (Web)"/>
    <w:basedOn w:val="Normal"/>
    <w:uiPriority w:val="99"/>
    <w:semiHidden/>
    <w:unhideWhenUsed/>
    <w:rsid w:val="00AC3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table" w:styleId="TableGrid">
    <w:name w:val="Table Grid"/>
    <w:basedOn w:val="TableNormal"/>
    <w:uiPriority w:val="39"/>
    <w:rsid w:val="00AC34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lumnHeaders">
    <w:name w:val="Table Column Headers"/>
    <w:basedOn w:val="Normal"/>
    <w:link w:val="TableColumnHeadersChar"/>
    <w:autoRedefine/>
    <w:qFormat/>
    <w:rsid w:val="006B4CC2"/>
    <w:pPr>
      <w:spacing w:after="0" w:line="240" w:lineRule="auto"/>
      <w:jc w:val="center"/>
    </w:pPr>
    <w:rPr>
      <w:rFonts w:asciiTheme="majorHAnsi" w:hAnsiTheme="majorHAnsi"/>
      <w:b/>
      <w:color w:val="FFFFFF" w:themeColor="background1"/>
    </w:rPr>
  </w:style>
  <w:style w:type="paragraph" w:customStyle="1" w:styleId="Style1">
    <w:name w:val="Style1"/>
    <w:basedOn w:val="TableColumnHeaders"/>
    <w:next w:val="Header"/>
    <w:autoRedefine/>
    <w:rsid w:val="00AC349E"/>
    <w:rPr>
      <w:szCs w:val="24"/>
    </w:rPr>
  </w:style>
  <w:style w:type="character" w:customStyle="1" w:styleId="TableColumnHeadersChar">
    <w:name w:val="Table Column Headers Char"/>
    <w:basedOn w:val="DefaultParagraphFont"/>
    <w:link w:val="TableColumnHeaders"/>
    <w:rsid w:val="006B4CC2"/>
    <w:rPr>
      <w:rFonts w:asciiTheme="majorHAnsi" w:hAnsiTheme="majorHAnsi"/>
      <w:b/>
      <w:color w:val="FFFFFF" w:themeColor="background1"/>
      <w:sz w:val="24"/>
    </w:rPr>
  </w:style>
  <w:style w:type="paragraph" w:styleId="NoSpacing">
    <w:name w:val="No Spacing"/>
    <w:link w:val="NoSpacingChar"/>
    <w:uiPriority w:val="1"/>
    <w:rsid w:val="0053328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53328A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666C03"/>
    <w:rPr>
      <w:color w:val="910D28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6C03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rsid w:val="00880013"/>
    <w:pPr>
      <w:ind w:left="720"/>
      <w:contextualSpacing/>
    </w:pPr>
  </w:style>
  <w:style w:type="paragraph" w:customStyle="1" w:styleId="Image">
    <w:name w:val="Image"/>
    <w:basedOn w:val="Normal"/>
    <w:next w:val="CaptionCutline"/>
    <w:link w:val="ImageChar"/>
    <w:autoRedefine/>
    <w:qFormat/>
    <w:rsid w:val="006E1542"/>
    <w:pPr>
      <w:keepNext/>
      <w:spacing w:after="0" w:line="240" w:lineRule="auto"/>
    </w:pPr>
    <w:rPr>
      <w:noProof/>
      <w:shd w:val="clear" w:color="auto" w:fill="FFFFFF"/>
    </w:rPr>
  </w:style>
  <w:style w:type="character" w:styleId="PlaceholderText">
    <w:name w:val="Placeholder Text"/>
    <w:basedOn w:val="DefaultParagraphFont"/>
    <w:uiPriority w:val="99"/>
    <w:semiHidden/>
    <w:rsid w:val="00D106FF"/>
    <w:rPr>
      <w:color w:val="808080"/>
    </w:rPr>
  </w:style>
  <w:style w:type="character" w:customStyle="1" w:styleId="ImageChar">
    <w:name w:val="Image Char"/>
    <w:basedOn w:val="DefaultParagraphFont"/>
    <w:link w:val="Image"/>
    <w:rsid w:val="006E1542"/>
    <w:rPr>
      <w:noProof/>
      <w:sz w:val="24"/>
    </w:rPr>
  </w:style>
  <w:style w:type="paragraph" w:customStyle="1" w:styleId="RowHeader">
    <w:name w:val="Row Header"/>
    <w:basedOn w:val="Normal"/>
    <w:qFormat/>
    <w:rsid w:val="006B4CC2"/>
    <w:pPr>
      <w:spacing w:after="0" w:line="240" w:lineRule="auto"/>
    </w:pPr>
    <w:rPr>
      <w:b/>
      <w:color w:val="910D28" w:themeColor="accent1"/>
    </w:rPr>
  </w:style>
  <w:style w:type="paragraph" w:customStyle="1" w:styleId="TableData">
    <w:name w:val="Table Data"/>
    <w:basedOn w:val="Normal"/>
    <w:qFormat/>
    <w:rsid w:val="006B4CC2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632CF7"/>
    <w:rPr>
      <w:color w:val="A2667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6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doi.org/10.1371/journal.pone.0267234" TargetMode="External"/><Relationship Id="rId18" Type="http://schemas.openxmlformats.org/officeDocument/2006/relationships/hyperlink" Target="http://www.jstor.org/stable/43697258" TargetMode="External"/><Relationship Id="rId26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https://doi.org/10.1080/00313831.2019.1623311" TargetMode="External"/><Relationship Id="rId17" Type="http://schemas.openxmlformats.org/officeDocument/2006/relationships/hyperlink" Target="http://www.jstor.org/stable/44677800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files.eric.ed.gov/fulltext/EJ1101097.pdf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jstor.org/stable/43179501" TargetMode="External"/><Relationship Id="rId24" Type="http://schemas.openxmlformats.org/officeDocument/2006/relationships/footer" Target="footer3.xml"/><Relationship Id="rId5" Type="http://schemas.openxmlformats.org/officeDocument/2006/relationships/numbering" Target="numbering.xml"/><Relationship Id="rId15" Type="http://schemas.openxmlformats.org/officeDocument/2006/relationships/hyperlink" Target="https://learning.northeastern.edu/multidisciplinary-teaching/" TargetMode="External"/><Relationship Id="rId23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doi.org/10.1021/acs.jchemed.0c01363" TargetMode="External"/><Relationship Id="rId22" Type="http://schemas.openxmlformats.org/officeDocument/2006/relationships/footer" Target="footer2.xml"/><Relationship Id="rId27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C5B4044C3E9A44C9E245EEB2A2EBB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CC11DD-9874-2F49-9CD9-0F64E6E3DFC1}"/>
      </w:docPartPr>
      <w:docPartBody>
        <w:p w:rsidR="007E1368" w:rsidRDefault="00000000">
          <w:pPr>
            <w:pStyle w:val="2C5B4044C3E9A44C9E245EEB2A2EBBE9"/>
          </w:pPr>
          <w:r w:rsidRPr="00D61E8F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EF9"/>
    <w:rsid w:val="0016431A"/>
    <w:rsid w:val="00351CFD"/>
    <w:rsid w:val="003E029D"/>
    <w:rsid w:val="005A549D"/>
    <w:rsid w:val="005A6A6E"/>
    <w:rsid w:val="005E5EF9"/>
    <w:rsid w:val="006860FE"/>
    <w:rsid w:val="007E1368"/>
    <w:rsid w:val="008644CC"/>
    <w:rsid w:val="008F27AD"/>
    <w:rsid w:val="009D53AC"/>
    <w:rsid w:val="00A30F35"/>
    <w:rsid w:val="00A91C31"/>
    <w:rsid w:val="00B46848"/>
    <w:rsid w:val="00D9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2C5B4044C3E9A44C9E245EEB2A2EBBE9">
    <w:name w:val="2C5B4044C3E9A44C9E245EEB2A2EBBE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LEARN16">
  <a:themeElements>
    <a:clrScheme name="LEARN">
      <a:dk1>
        <a:srgbClr val="3E5C61"/>
      </a:dk1>
      <a:lt1>
        <a:sysClr val="window" lastClr="FFFFFF"/>
      </a:lt1>
      <a:dk2>
        <a:srgbClr val="3E5C61"/>
      </a:dk2>
      <a:lt2>
        <a:srgbClr val="FFFFFF"/>
      </a:lt2>
      <a:accent1>
        <a:srgbClr val="910D28"/>
      </a:accent1>
      <a:accent2>
        <a:srgbClr val="3E5C61"/>
      </a:accent2>
      <a:accent3>
        <a:srgbClr val="BED7D3"/>
      </a:accent3>
      <a:accent4>
        <a:srgbClr val="626262"/>
      </a:accent4>
      <a:accent5>
        <a:srgbClr val="910D28"/>
      </a:accent5>
      <a:accent6>
        <a:srgbClr val="3E5C61"/>
      </a:accent6>
      <a:hlink>
        <a:srgbClr val="910D28"/>
      </a:hlink>
      <a:folHlink>
        <a:srgbClr val="A26670"/>
      </a:folHlink>
    </a:clrScheme>
    <a:fontScheme name="LEAR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75d9c401-6781-4bfe-8c35-d41a045eaf31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948B8C59B5B54881A902ED9A75DDB4" ma:contentTypeVersion="7" ma:contentTypeDescription="Create a new document." ma:contentTypeScope="" ma:versionID="28b9fa3224942b635fa696e3958b187f">
  <xsd:schema xmlns:xsd="http://www.w3.org/2001/XMLSchema" xmlns:xs="http://www.w3.org/2001/XMLSchema" xmlns:p="http://schemas.microsoft.com/office/2006/metadata/properties" xmlns:ns2="75d9c401-6781-4bfe-8c35-d41a045eaf31" xmlns:ns3="8dcace12-f43a-49c1-8347-3ffc57de5fd6" targetNamespace="http://schemas.microsoft.com/office/2006/metadata/properties" ma:root="true" ma:fieldsID="51a539d48bf65c9634230b3c6931dac2" ns2:_="" ns3:_="">
    <xsd:import namespace="75d9c401-6781-4bfe-8c35-d41a045eaf31"/>
    <xsd:import namespace="8dcace12-f43a-49c1-8347-3ffc57de5f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d9c401-6781-4bfe-8c35-d41a045eaf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Flow_SignoffStatus" ma:index="14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cace12-f43a-49c1-8347-3ffc57de5fd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81C436-3FC8-4C31-9493-C73E852367DF}">
  <ds:schemaRefs>
    <ds:schemaRef ds:uri="http://schemas.microsoft.com/office/2006/metadata/properties"/>
    <ds:schemaRef ds:uri="http://schemas.microsoft.com/office/infopath/2007/PartnerControls"/>
    <ds:schemaRef ds:uri="75d9c401-6781-4bfe-8c35-d41a045eaf31"/>
  </ds:schemaRefs>
</ds:datastoreItem>
</file>

<file path=customXml/itemProps2.xml><?xml version="1.0" encoding="utf-8"?>
<ds:datastoreItem xmlns:ds="http://schemas.openxmlformats.org/officeDocument/2006/customXml" ds:itemID="{CDFFED32-C619-4179-8329-D540554DE48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8056922-3C6D-4B29-A22E-3716A2067CB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BDC5DAC-3C99-469D-A2ED-4E1AC6D047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d9c401-6781-4bfe-8c35-d41a045eaf31"/>
    <ds:schemaRef ds:uri="8dcace12-f43a-49c1-8347-3ffc57de5f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820</Words>
  <Characters>5583</Characters>
  <Application>Microsoft Office Word</Application>
  <DocSecurity>0</DocSecurity>
  <Lines>72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Multi-Disciplinary and Cross-Curricular Research Brief</vt:lpstr>
    </vt:vector>
  </TitlesOfParts>
  <Company/>
  <LinksUpToDate>false</LinksUpToDate>
  <CharactersWithSpaces>6393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MultiDisciplinary and Cross-Curricular Research Brief</dc:title>
  <dc:creator>Elsa Finley-Combs</dc:creator>
  <cp:lastModifiedBy>Elsa Finley-Combs</cp:lastModifiedBy>
  <cp:revision>4</cp:revision>
  <cp:lastPrinted>2016-07-14T14:08:00Z</cp:lastPrinted>
  <dcterms:created xsi:type="dcterms:W3CDTF">2024-11-01T20:21:00Z</dcterms:created>
  <dcterms:modified xsi:type="dcterms:W3CDTF">2026-01-27T03:48:00Z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0x0101005D948B8C59B5B54881A902ED9A75DDB4</vt:lpwstr>
  </property>
</Properties>
</file>